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13                                   </w:t>
      </w:r>
      <w:bookmarkStart w:id="3" w:name="_GoBack"/>
      <w:bookmarkEnd w:id="3"/>
      <w:r>
        <w:rPr>
          <w:rFonts w:hint="eastAsia" w:ascii="Arial" w:hAnsi="Arial" w:cs="Arial"/>
          <w:b/>
          <w:sz w:val="24"/>
          <w:szCs w:val="24"/>
          <w:lang w:val="en-US" w:eastAsia="zh-CN"/>
        </w:rPr>
        <w:t>R4-2419173</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Orlando, US, 18th – 22nd November, 2024</w:t>
      </w: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 xml:space="preserve">Discussion on </w:t>
      </w:r>
      <w:r>
        <w:rPr>
          <w:rFonts w:hint="eastAsia" w:ascii="Arial" w:hAnsi="Arial"/>
          <w:b/>
          <w:sz w:val="24"/>
          <w:lang w:val="en-US" w:eastAsia="zh-CN"/>
        </w:rPr>
        <w:t>R18 ATG k1 value</w:t>
      </w:r>
    </w:p>
    <w:p>
      <w:pPr>
        <w:widowControl w:val="0"/>
        <w:tabs>
          <w:tab w:val="left" w:pos="1985"/>
        </w:tabs>
        <w:spacing w:before="120" w:after="120"/>
        <w:outlineLvl w:val="0"/>
        <w:rPr>
          <w:rStyle w:val="62"/>
          <w:rFonts w:hint="default" w:eastAsia="宋体"/>
          <w:b/>
          <w:lang w:val="en-US" w:eastAsia="zh-CN"/>
        </w:rPr>
      </w:pPr>
      <w:r>
        <w:rPr>
          <w:rFonts w:ascii="Arial" w:hAnsi="Arial"/>
          <w:b/>
          <w:sz w:val="24"/>
        </w:rPr>
        <w:t xml:space="preserve">Source: </w:t>
      </w:r>
      <w:r>
        <w:rPr>
          <w:rFonts w:ascii="Arial" w:hAnsi="Arial"/>
          <w:b/>
          <w:sz w:val="24"/>
        </w:rPr>
        <w:tab/>
      </w:r>
      <w:r>
        <w:rPr>
          <w:rStyle w:val="62"/>
          <w:rFonts w:hint="eastAsia"/>
          <w:b/>
        </w:rPr>
        <w:t>ZTE Corporation</w:t>
      </w:r>
      <w:r>
        <w:rPr>
          <w:rStyle w:val="62"/>
          <w:rFonts w:hint="eastAsia"/>
          <w:b/>
          <w:lang w:val="en-US" w:eastAsia="zh-CN"/>
        </w:rPr>
        <w:t>, Sanechips</w:t>
      </w:r>
    </w:p>
    <w:p>
      <w:pPr>
        <w:widowControl w:val="0"/>
        <w:tabs>
          <w:tab w:val="left" w:pos="1985"/>
        </w:tabs>
        <w:spacing w:before="120" w:after="120"/>
        <w:outlineLvl w:val="0"/>
        <w:rPr>
          <w:rStyle w:val="62"/>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5.6.4</w:t>
      </w:r>
    </w:p>
    <w:p>
      <w:pPr>
        <w:widowControl w:val="0"/>
        <w:tabs>
          <w:tab w:val="left" w:pos="1985"/>
        </w:tabs>
        <w:spacing w:before="120" w:after="120"/>
        <w:ind w:left="1980" w:hanging="1980"/>
        <w:outlineLvl w:val="0"/>
        <w:rPr>
          <w:rStyle w:val="62"/>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 xml:space="preserve">In last meeting , RAN4 discussed how to address the k1 value in the ATG scenario. Ultimately, RAN4 agreed to introduce the outOfOrderOperationDL-r16 as a solution to the ATG HARQ timing [1]. Additionally, during the last meeting, some companies proposed other alternative solutions. </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cs="Times New Roman"/>
          <w:sz w:val="20"/>
          <w:szCs w:val="20"/>
          <w:lang w:val="en-US" w:eastAsia="zh-CN"/>
        </w:rPr>
      </w:pPr>
      <w:r>
        <w:rPr>
          <w:rFonts w:hint="eastAsia" w:cs="Times New Roman"/>
          <w:sz w:val="20"/>
          <w:szCs w:val="20"/>
          <w:lang w:val="en-US" w:eastAsia="zh-CN"/>
        </w:rPr>
        <w:t>In this contribution, we would like to analyze the feasibility of these alternative proposals.</w:t>
      </w: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In previous meeting, RAN2 introduced a new signalling for ATG scenarios, i.e. DL-DataToUL-ACK-r18, to address the range of k1 value. </w:t>
      </w:r>
    </w:p>
    <w:p>
      <w:pPr>
        <w:widowControl w:val="0"/>
        <w:spacing w:beforeLines="100" w:afterLines="0" w:line="240" w:lineRule="auto"/>
        <w:jc w:val="both"/>
        <w:rPr>
          <w:rFonts w:hint="eastAsia" w:cs="Times New Roman"/>
          <w:kern w:val="2"/>
          <w:sz w:val="21"/>
          <w:highlight w:val="lightGray"/>
          <w:lang w:val="en-US" w:eastAsia="zh-CN" w:bidi="ar-SA"/>
        </w:rPr>
      </w:pPr>
      <w:r>
        <w:rPr>
          <w:rFonts w:hint="eastAsia" w:cs="Times New Roman"/>
          <w:kern w:val="2"/>
          <w:sz w:val="21"/>
          <w:highlight w:val="lightGray"/>
          <w:lang w:val="en-US" w:eastAsia="zh-CN" w:bidi="ar-SA"/>
        </w:rPr>
        <w:t>DL-DataToUL-ACK-r18 ::=                    SEQUENCE (SIZE (1..8)) OF INTEGER (0..31)</w:t>
      </w:r>
    </w:p>
    <w:p>
      <w:pPr>
        <w:rPr>
          <w:rFonts w:hint="default" w:eastAsia="游明朝"/>
          <w:b w:val="0"/>
          <w:bCs/>
          <w:u w:val="none"/>
          <w:lang w:val="en-US" w:eastAsia="zh-CN"/>
        </w:rPr>
      </w:pPr>
      <w:r>
        <w:rPr>
          <w:rFonts w:hint="eastAsia" w:eastAsia="游明朝"/>
          <w:b w:val="0"/>
          <w:bCs/>
          <w:u w:val="none"/>
          <w:lang w:val="en-US" w:eastAsia="zh-CN"/>
        </w:rPr>
        <w:t>The remaining issues is how to resolve the k1 value in the HARQ feedback. In last meeting, some companies proposed resolving the timing for ATG HARQ by introducing k_offset and out of order capability, as illustrated below.</w:t>
      </w:r>
    </w:p>
    <w:tbl>
      <w:tblPr>
        <w:tblStyle w:val="26"/>
        <w:tblW w:w="0" w:type="auto"/>
        <w:tblInd w:w="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5"/>
        <w:gridCol w:w="674"/>
        <w:gridCol w:w="4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5"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游明朝" w:cs="Times New Roman"/>
                <w:b w:val="0"/>
                <w:bCs/>
                <w:sz w:val="18"/>
                <w:szCs w:val="18"/>
                <w:u w:val="none"/>
                <w:lang w:val="en-US" w:eastAsia="zh-CN"/>
              </w:rPr>
            </w:pPr>
            <w:r>
              <w:rPr>
                <w:rFonts w:hint="default" w:ascii="Times New Roman" w:hAnsi="Times New Roman" w:eastAsia="游明朝" w:cs="Times New Roman"/>
                <w:b w:val="0"/>
                <w:bCs/>
                <w:sz w:val="18"/>
                <w:szCs w:val="18"/>
                <w:u w:val="none"/>
                <w:lang w:val="en-US" w:eastAsia="zh-CN"/>
              </w:rPr>
              <w:t>The number of slots between PDSCH and corresponding HARQ-ACK information (Note 3)</w:t>
            </w:r>
          </w:p>
        </w:tc>
        <w:tc>
          <w:tcPr>
            <w:tcW w:w="674"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游明朝" w:cs="Times New Roman"/>
                <w:b w:val="0"/>
                <w:bCs/>
                <w:sz w:val="18"/>
                <w:szCs w:val="18"/>
                <w:u w:val="none"/>
                <w:lang w:val="en-US" w:eastAsia="zh-CN"/>
              </w:rPr>
            </w:pPr>
          </w:p>
        </w:tc>
        <w:tc>
          <w:tcPr>
            <w:tcW w:w="4750"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游明朝" w:cs="Times New Roman"/>
                <w:b w:val="0"/>
                <w:bCs/>
                <w:sz w:val="18"/>
                <w:szCs w:val="18"/>
                <w:u w:val="none"/>
                <w:lang w:val="en-US" w:eastAsia="zh-CN"/>
              </w:rPr>
            </w:pPr>
            <w:r>
              <w:rPr>
                <w:rFonts w:hint="default" w:ascii="Times New Roman" w:hAnsi="Times New Roman" w:eastAsia="游明朝" w:cs="Times New Roman"/>
                <w:b w:val="0"/>
                <w:bCs/>
                <w:sz w:val="18"/>
                <w:szCs w:val="18"/>
                <w:u w:val="none"/>
                <w:lang w:val="en-US" w:eastAsia="zh-CN"/>
              </w:rPr>
              <w:t>34 if mod(i,40) = 0, 1, 2, 3, 4, 5; k1=30, koffset =2</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游明朝" w:cs="Times New Roman"/>
                <w:b w:val="0"/>
                <w:bCs/>
                <w:sz w:val="18"/>
                <w:szCs w:val="18"/>
                <w:u w:val="none"/>
                <w:lang w:val="en-US" w:eastAsia="zh-CN"/>
              </w:rPr>
            </w:pPr>
            <w:r>
              <w:rPr>
                <w:rFonts w:hint="default" w:ascii="Times New Roman" w:hAnsi="Times New Roman" w:eastAsia="游明朝" w:cs="Times New Roman"/>
                <w:b w:val="0"/>
                <w:bCs/>
                <w:sz w:val="18"/>
                <w:szCs w:val="18"/>
                <w:u w:val="none"/>
                <w:lang w:val="en-US" w:eastAsia="zh-CN"/>
              </w:rPr>
              <w:t>28 if mod(i,40) = 6, 7, 8, 9, 10, 11; k1=24, koffset=2</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游明朝" w:cs="Times New Roman"/>
                <w:b w:val="0"/>
                <w:bCs/>
                <w:sz w:val="18"/>
                <w:szCs w:val="18"/>
                <w:u w:val="none"/>
                <w:lang w:val="en-US" w:eastAsia="zh-CN"/>
              </w:rPr>
            </w:pPr>
            <w:r>
              <w:rPr>
                <w:rFonts w:hint="default" w:ascii="Times New Roman" w:hAnsi="Times New Roman" w:eastAsia="游明朝" w:cs="Times New Roman"/>
                <w:b w:val="0"/>
                <w:bCs/>
                <w:sz w:val="18"/>
                <w:szCs w:val="18"/>
                <w:u w:val="none"/>
                <w:lang w:val="en-US" w:eastAsia="zh-CN"/>
              </w:rPr>
              <w:t>22 if mod(i,40) = 12, 13, 14, 15, 16, 17; k1=18, koffset =2</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游明朝" w:cs="Times New Roman"/>
                <w:b w:val="0"/>
                <w:bCs/>
                <w:sz w:val="18"/>
                <w:szCs w:val="18"/>
                <w:u w:val="none"/>
                <w:lang w:val="en-US" w:eastAsia="zh-CN"/>
              </w:rPr>
            </w:pPr>
            <w:r>
              <w:rPr>
                <w:rFonts w:hint="default" w:ascii="Times New Roman" w:hAnsi="Times New Roman" w:eastAsia="游明朝" w:cs="Times New Roman"/>
                <w:b w:val="0"/>
                <w:bCs/>
                <w:sz w:val="18"/>
                <w:szCs w:val="18"/>
                <w:u w:val="none"/>
                <w:lang w:val="en-US" w:eastAsia="zh-CN"/>
              </w:rPr>
              <w:t>16 if mod(i,40) = 18, 19, 20, 21, 22, 23; k1=12, koffset =2</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ascii="Times New Roman" w:hAnsi="Times New Roman" w:eastAsia="游明朝" w:cs="Times New Roman"/>
                <w:b w:val="0"/>
                <w:bCs/>
                <w:sz w:val="18"/>
                <w:szCs w:val="18"/>
                <w:u w:val="none"/>
                <w:lang w:val="en-US" w:eastAsia="zh-CN"/>
              </w:rPr>
            </w:pPr>
            <w:r>
              <w:rPr>
                <w:rFonts w:hint="default" w:ascii="Times New Roman" w:hAnsi="Times New Roman" w:eastAsia="游明朝" w:cs="Times New Roman"/>
                <w:b w:val="0"/>
                <w:bCs/>
                <w:sz w:val="18"/>
                <w:szCs w:val="18"/>
                <w:u w:val="none"/>
                <w:lang w:val="en-US" w:eastAsia="zh-CN"/>
              </w:rPr>
              <w:t>10 if mod(i,40) = 24, 25, 26, 27, 28, 29; k1=6, koffset =2</w:t>
            </w:r>
          </w:p>
        </w:tc>
      </w:tr>
    </w:tbl>
    <w:p>
      <w:pPr>
        <w:widowControl w:val="0"/>
        <w:spacing w:beforeLines="100" w:afterLines="0" w:line="240" w:lineRule="auto"/>
        <w:jc w:val="both"/>
        <w:rPr>
          <w:rFonts w:hint="default" w:cs="Times New Roman"/>
          <w:kern w:val="2"/>
          <w:sz w:val="21"/>
          <w:lang w:val="en-US" w:eastAsia="zh-CN" w:bidi="ar-SA"/>
        </w:rPr>
      </w:pPr>
    </w:p>
    <w:p>
      <w:pPr>
        <w:widowControl w:val="0"/>
        <w:spacing w:beforeLines="100" w:afterLines="0" w:line="240" w:lineRule="auto"/>
        <w:jc w:val="both"/>
        <w:rPr>
          <w:rFonts w:hint="eastAsia"/>
          <w:b/>
          <w:bCs/>
          <w:i/>
          <w:iCs/>
          <w:szCs w:val="21"/>
          <w:lang w:val="en-US" w:eastAsia="zh-CN"/>
        </w:rPr>
      </w:pPr>
      <w:r>
        <w:rPr>
          <w:rFonts w:ascii="宋体" w:hAnsi="宋体" w:eastAsia="宋体" w:cs="宋体"/>
          <w:kern w:val="0"/>
          <w:sz w:val="24"/>
          <w:szCs w:val="24"/>
          <w:lang w:val="en-US" w:eastAsia="zh-CN" w:bidi="ar"/>
        </w:rPr>
        <w:drawing>
          <wp:inline distT="0" distB="0" distL="114300" distR="114300">
            <wp:extent cx="5894705" cy="1809115"/>
            <wp:effectExtent l="0" t="0" r="3175" b="4445"/>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12"/>
                    <a:stretch>
                      <a:fillRect/>
                    </a:stretch>
                  </pic:blipFill>
                  <pic:spPr>
                    <a:xfrm>
                      <a:off x="0" y="0"/>
                      <a:ext cx="5894705" cy="1809115"/>
                    </a:xfrm>
                    <a:prstGeom prst="rect">
                      <a:avLst/>
                    </a:prstGeom>
                    <a:noFill/>
                    <a:ln w="9525">
                      <a:noFill/>
                    </a:ln>
                  </pic:spPr>
                </pic:pic>
              </a:graphicData>
            </a:graphic>
          </wp:inline>
        </w:drawing>
      </w:r>
    </w:p>
    <w:p>
      <w:pPr>
        <w:rPr>
          <w:rFonts w:hint="default" w:eastAsia="游明朝"/>
          <w:b w:val="0"/>
          <w:bCs/>
          <w:u w:val="none"/>
          <w:lang w:val="en-US" w:eastAsia="zh-CN"/>
        </w:rPr>
      </w:pPr>
      <w:r>
        <w:rPr>
          <w:rFonts w:hint="eastAsia" w:cs="Times New Roman"/>
          <w:kern w:val="2"/>
          <w:sz w:val="21"/>
          <w:lang w:val="en-US" w:eastAsia="zh-CN" w:bidi="ar-SA"/>
        </w:rPr>
        <w:t xml:space="preserve">With this approach, the k1 value would be constrained to five specific values, aligning with the current RAN1 </w:t>
      </w:r>
      <w:r>
        <w:rPr>
          <w:rFonts w:hint="eastAsia" w:eastAsia="游明朝"/>
          <w:b w:val="0"/>
          <w:bCs/>
          <w:u w:val="none"/>
          <w:lang w:val="en-US" w:eastAsia="zh-CN"/>
        </w:rPr>
        <w:t>specifications definition.</w:t>
      </w:r>
    </w:p>
    <w:p>
      <w:pPr>
        <w:rPr>
          <w:rFonts w:hint="eastAsia" w:eastAsia="游明朝"/>
          <w:b w:val="0"/>
          <w:bCs/>
          <w:u w:val="none"/>
          <w:lang w:val="en-US" w:eastAsia="zh-CN"/>
        </w:rPr>
      </w:pPr>
      <w:r>
        <w:rPr>
          <w:rFonts w:hint="eastAsia" w:eastAsia="游明朝"/>
          <w:b w:val="0"/>
          <w:bCs/>
          <w:u w:val="none"/>
          <w:lang w:val="en-US" w:eastAsia="zh-CN"/>
        </w:rPr>
        <w:t>Meanwhile, some companies are concerned that the out of order might impose a heavy burden and latency for UE, and thus suggested disabling all out of order HARQ processes.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leftChars="0" w:right="0"/>
              <w:textAlignment w:val="baseline"/>
              <w:rPr>
                <w:rFonts w:hint="default"/>
                <w:sz w:val="18"/>
                <w:szCs w:val="18"/>
                <w:lang w:val="en-US" w:eastAsia="zh-CN"/>
              </w:rPr>
            </w:pPr>
            <w:r>
              <w:rPr>
                <w:rFonts w:hint="default"/>
                <w:sz w:val="18"/>
                <w:szCs w:val="18"/>
                <w:lang w:val="en-US" w:eastAsia="zh-CN"/>
              </w:rPr>
              <w:t xml:space="preserve">34 if mod(i,40) = </w:t>
            </w:r>
            <w:r>
              <w:rPr>
                <w:rFonts w:hint="default"/>
                <w:sz w:val="18"/>
                <w:szCs w:val="18"/>
                <w:highlight w:val="yellow"/>
                <w:lang w:val="en-US" w:eastAsia="zh-CN"/>
              </w:rPr>
              <w:t>0, 1</w:t>
            </w:r>
            <w:r>
              <w:rPr>
                <w:rFonts w:hint="default"/>
                <w:sz w:val="18"/>
                <w:szCs w:val="18"/>
                <w:lang w:val="en-US" w:eastAsia="zh-CN"/>
              </w:rPr>
              <w:t xml:space="preserve">, </w:t>
            </w:r>
            <w:r>
              <w:rPr>
                <w:rFonts w:hint="default"/>
                <w:strike/>
                <w:dstrike w:val="0"/>
                <w:sz w:val="18"/>
                <w:szCs w:val="18"/>
                <w:lang w:val="en-US" w:eastAsia="zh-CN"/>
              </w:rPr>
              <w:t>2, 3, 4, 5</w:t>
            </w:r>
            <w:r>
              <w:rPr>
                <w:rFonts w:hint="eastAsia"/>
                <w:sz w:val="18"/>
                <w:szCs w:val="18"/>
                <w:lang w:val="en-US" w:eastAsia="zh-CN"/>
              </w:rPr>
              <w:t>;  k1=30, k</w:t>
            </w:r>
            <w:r>
              <w:rPr>
                <w:rFonts w:hint="eastAsia"/>
                <w:sz w:val="18"/>
                <w:szCs w:val="18"/>
                <w:vertAlign w:val="subscript"/>
                <w:lang w:val="en-US" w:eastAsia="zh-CN"/>
              </w:rPr>
              <w:t xml:space="preserve">offset </w:t>
            </w:r>
            <w:r>
              <w:rPr>
                <w:rFonts w:hint="eastAsia"/>
                <w:sz w:val="18"/>
                <w:szCs w:val="18"/>
                <w:vertAlign w:val="baseline"/>
                <w:lang w:val="en-US" w:eastAsia="zh-CN"/>
              </w:rPr>
              <w:t>= 2</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leftChars="0" w:right="0"/>
              <w:textAlignment w:val="baseline"/>
              <w:rPr>
                <w:rFonts w:hint="default"/>
                <w:sz w:val="18"/>
                <w:szCs w:val="18"/>
                <w:lang w:val="en-US" w:eastAsia="zh-CN"/>
              </w:rPr>
            </w:pPr>
            <w:r>
              <w:rPr>
                <w:rFonts w:hint="default"/>
                <w:sz w:val="18"/>
                <w:szCs w:val="18"/>
                <w:lang w:val="en-US" w:eastAsia="zh-CN"/>
              </w:rPr>
              <w:t xml:space="preserve">28 if mod(i,40) = </w:t>
            </w:r>
            <w:r>
              <w:rPr>
                <w:rFonts w:hint="default"/>
                <w:strike/>
                <w:dstrike w:val="0"/>
                <w:sz w:val="18"/>
                <w:szCs w:val="18"/>
                <w:lang w:val="en-US" w:eastAsia="zh-CN"/>
              </w:rPr>
              <w:t>6</w:t>
            </w:r>
            <w:r>
              <w:rPr>
                <w:rFonts w:hint="default"/>
                <w:sz w:val="18"/>
                <w:szCs w:val="18"/>
                <w:lang w:val="en-US" w:eastAsia="zh-CN"/>
              </w:rPr>
              <w:t xml:space="preserve">, </w:t>
            </w:r>
            <w:r>
              <w:rPr>
                <w:rFonts w:hint="default"/>
                <w:sz w:val="18"/>
                <w:szCs w:val="18"/>
                <w:highlight w:val="yellow"/>
                <w:lang w:val="en-US" w:eastAsia="zh-CN"/>
              </w:rPr>
              <w:t>7, 8</w:t>
            </w:r>
            <w:r>
              <w:rPr>
                <w:rFonts w:hint="default"/>
                <w:sz w:val="18"/>
                <w:szCs w:val="18"/>
                <w:lang w:val="en-US" w:eastAsia="zh-CN"/>
              </w:rPr>
              <w:t xml:space="preserve">, </w:t>
            </w:r>
            <w:r>
              <w:rPr>
                <w:rFonts w:hint="default"/>
                <w:strike/>
                <w:dstrike w:val="0"/>
                <w:sz w:val="18"/>
                <w:szCs w:val="18"/>
                <w:lang w:val="en-US" w:eastAsia="zh-CN"/>
              </w:rPr>
              <w:t>9, 10, 1</w:t>
            </w:r>
            <w:r>
              <w:rPr>
                <w:rFonts w:hint="eastAsia"/>
                <w:strike/>
                <w:dstrike w:val="0"/>
                <w:sz w:val="18"/>
                <w:szCs w:val="18"/>
                <w:lang w:val="en-US" w:eastAsia="zh-CN"/>
              </w:rPr>
              <w:t>1</w:t>
            </w:r>
            <w:r>
              <w:rPr>
                <w:rFonts w:hint="eastAsia"/>
                <w:sz w:val="18"/>
                <w:szCs w:val="18"/>
                <w:lang w:val="en-US" w:eastAsia="zh-CN"/>
              </w:rPr>
              <w:t>;  k1=24, k</w:t>
            </w:r>
            <w:r>
              <w:rPr>
                <w:rFonts w:hint="eastAsia"/>
                <w:sz w:val="18"/>
                <w:szCs w:val="18"/>
                <w:vertAlign w:val="subscript"/>
                <w:lang w:val="en-US" w:eastAsia="zh-CN"/>
              </w:rPr>
              <w:t xml:space="preserve">offset </w:t>
            </w:r>
            <w:r>
              <w:rPr>
                <w:rFonts w:hint="eastAsia"/>
                <w:sz w:val="18"/>
                <w:szCs w:val="18"/>
                <w:vertAlign w:val="baseline"/>
                <w:lang w:val="en-US" w:eastAsia="zh-CN"/>
              </w:rPr>
              <w:t>= 2</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leftChars="0" w:right="0"/>
              <w:textAlignment w:val="baseline"/>
              <w:rPr>
                <w:rFonts w:hint="default"/>
                <w:sz w:val="18"/>
                <w:szCs w:val="18"/>
                <w:lang w:val="en-US" w:eastAsia="zh-CN"/>
              </w:rPr>
            </w:pPr>
            <w:r>
              <w:rPr>
                <w:rFonts w:hint="default"/>
                <w:sz w:val="18"/>
                <w:szCs w:val="18"/>
                <w:lang w:val="en-US" w:eastAsia="zh-CN"/>
              </w:rPr>
              <w:t xml:space="preserve">22 if mod(i,40) = </w:t>
            </w:r>
            <w:r>
              <w:rPr>
                <w:rFonts w:hint="default"/>
                <w:strike/>
                <w:dstrike w:val="0"/>
                <w:sz w:val="18"/>
                <w:szCs w:val="18"/>
                <w:lang w:val="en-US" w:eastAsia="zh-CN"/>
              </w:rPr>
              <w:t>12, 13</w:t>
            </w:r>
            <w:r>
              <w:rPr>
                <w:rFonts w:hint="default"/>
                <w:sz w:val="18"/>
                <w:szCs w:val="18"/>
                <w:lang w:val="en-US" w:eastAsia="zh-CN"/>
              </w:rPr>
              <w:t xml:space="preserve">, </w:t>
            </w:r>
            <w:r>
              <w:rPr>
                <w:rFonts w:hint="default"/>
                <w:sz w:val="18"/>
                <w:szCs w:val="18"/>
                <w:highlight w:val="yellow"/>
                <w:lang w:val="en-US" w:eastAsia="zh-CN"/>
              </w:rPr>
              <w:t>14, 15</w:t>
            </w:r>
            <w:r>
              <w:rPr>
                <w:rFonts w:hint="default"/>
                <w:sz w:val="18"/>
                <w:szCs w:val="18"/>
                <w:lang w:val="en-US" w:eastAsia="zh-CN"/>
              </w:rPr>
              <w:t xml:space="preserve">, </w:t>
            </w:r>
            <w:r>
              <w:rPr>
                <w:rFonts w:hint="default"/>
                <w:strike/>
                <w:dstrike w:val="0"/>
                <w:sz w:val="18"/>
                <w:szCs w:val="18"/>
                <w:lang w:val="en-US" w:eastAsia="zh-CN"/>
              </w:rPr>
              <w:t>16, 17</w:t>
            </w:r>
            <w:r>
              <w:rPr>
                <w:rFonts w:hint="eastAsia"/>
                <w:sz w:val="18"/>
                <w:szCs w:val="18"/>
                <w:lang w:val="en-US" w:eastAsia="zh-CN"/>
              </w:rPr>
              <w:t>;  k1=18, k</w:t>
            </w:r>
            <w:r>
              <w:rPr>
                <w:rFonts w:hint="eastAsia"/>
                <w:sz w:val="18"/>
                <w:szCs w:val="18"/>
                <w:vertAlign w:val="subscript"/>
                <w:lang w:val="en-US" w:eastAsia="zh-CN"/>
              </w:rPr>
              <w:t xml:space="preserve">offset </w:t>
            </w:r>
            <w:r>
              <w:rPr>
                <w:rFonts w:hint="eastAsia"/>
                <w:sz w:val="18"/>
                <w:szCs w:val="18"/>
                <w:vertAlign w:val="baseline"/>
                <w:lang w:val="en-US" w:eastAsia="zh-CN"/>
              </w:rPr>
              <w:t>= 2</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leftChars="0" w:right="0"/>
              <w:textAlignment w:val="baseline"/>
              <w:rPr>
                <w:rFonts w:hint="default"/>
                <w:sz w:val="18"/>
                <w:szCs w:val="18"/>
                <w:lang w:val="en-US" w:eastAsia="zh-CN"/>
              </w:rPr>
            </w:pPr>
            <w:r>
              <w:rPr>
                <w:rFonts w:hint="default"/>
                <w:sz w:val="18"/>
                <w:szCs w:val="18"/>
                <w:lang w:val="en-US" w:eastAsia="zh-CN"/>
              </w:rPr>
              <w:t xml:space="preserve">16 if mod(i,40) = </w:t>
            </w:r>
            <w:r>
              <w:rPr>
                <w:rFonts w:hint="default"/>
                <w:strike/>
                <w:dstrike w:val="0"/>
                <w:sz w:val="18"/>
                <w:szCs w:val="18"/>
                <w:lang w:val="en-US" w:eastAsia="zh-CN"/>
              </w:rPr>
              <w:t>18, 19, 20</w:t>
            </w:r>
            <w:r>
              <w:rPr>
                <w:rFonts w:hint="default"/>
                <w:sz w:val="18"/>
                <w:szCs w:val="18"/>
                <w:lang w:val="en-US" w:eastAsia="zh-CN"/>
              </w:rPr>
              <w:t xml:space="preserve">, </w:t>
            </w:r>
            <w:r>
              <w:rPr>
                <w:rFonts w:hint="default"/>
                <w:sz w:val="18"/>
                <w:szCs w:val="18"/>
                <w:highlight w:val="yellow"/>
                <w:lang w:val="en-US" w:eastAsia="zh-CN"/>
              </w:rPr>
              <w:t>21, 22</w:t>
            </w:r>
            <w:r>
              <w:rPr>
                <w:rFonts w:hint="default"/>
                <w:sz w:val="18"/>
                <w:szCs w:val="18"/>
                <w:lang w:val="en-US" w:eastAsia="zh-CN"/>
              </w:rPr>
              <w:t>,</w:t>
            </w:r>
            <w:r>
              <w:rPr>
                <w:rFonts w:hint="default"/>
                <w:strike/>
                <w:dstrike w:val="0"/>
                <w:sz w:val="18"/>
                <w:szCs w:val="18"/>
                <w:lang w:val="en-US" w:eastAsia="zh-CN"/>
              </w:rPr>
              <w:t xml:space="preserve"> 23</w:t>
            </w:r>
            <w:r>
              <w:rPr>
                <w:rFonts w:hint="eastAsia"/>
                <w:sz w:val="18"/>
                <w:szCs w:val="18"/>
                <w:lang w:val="en-US" w:eastAsia="zh-CN"/>
              </w:rPr>
              <w:t>;  k1=12, k</w:t>
            </w:r>
            <w:r>
              <w:rPr>
                <w:rFonts w:hint="eastAsia"/>
                <w:sz w:val="18"/>
                <w:szCs w:val="18"/>
                <w:vertAlign w:val="subscript"/>
                <w:lang w:val="en-US" w:eastAsia="zh-CN"/>
              </w:rPr>
              <w:t xml:space="preserve">offset </w:t>
            </w:r>
            <w:r>
              <w:rPr>
                <w:rFonts w:hint="eastAsia"/>
                <w:sz w:val="18"/>
                <w:szCs w:val="18"/>
                <w:vertAlign w:val="baseline"/>
                <w:lang w:val="en-US" w:eastAsia="zh-CN"/>
              </w:rPr>
              <w:t>= 2</w:t>
            </w:r>
          </w:p>
          <w:p>
            <w:pPr>
              <w:keepNext w:val="0"/>
              <w:keepLines w:val="0"/>
              <w:widowControl/>
              <w:numPr>
                <w:ilvl w:val="0"/>
                <w:numId w:val="0"/>
              </w:numPr>
              <w:suppressLineNumbers w:val="0"/>
              <w:overflowPunct w:val="0"/>
              <w:autoSpaceDE w:val="0"/>
              <w:autoSpaceDN w:val="0"/>
              <w:adjustRightInd w:val="0"/>
              <w:spacing w:before="0" w:beforeAutospacing="0" w:after="180" w:afterAutospacing="0"/>
              <w:ind w:left="0" w:leftChars="0" w:right="0"/>
              <w:textAlignment w:val="baseline"/>
              <w:rPr>
                <w:rFonts w:hint="eastAsia"/>
                <w:b/>
                <w:bCs/>
                <w:i/>
                <w:iCs/>
                <w:szCs w:val="21"/>
                <w:vertAlign w:val="baseline"/>
                <w:lang w:val="en-US" w:eastAsia="zh-CN"/>
              </w:rPr>
            </w:pPr>
            <w:r>
              <w:rPr>
                <w:rFonts w:hint="default"/>
                <w:sz w:val="18"/>
                <w:szCs w:val="18"/>
                <w:lang w:val="en-US" w:eastAsia="zh-CN"/>
              </w:rPr>
              <w:t xml:space="preserve">10 if mod(i,40) = </w:t>
            </w:r>
            <w:r>
              <w:rPr>
                <w:rFonts w:hint="default"/>
                <w:strike/>
                <w:dstrike w:val="0"/>
                <w:sz w:val="18"/>
                <w:szCs w:val="18"/>
                <w:lang w:val="en-US" w:eastAsia="zh-CN"/>
              </w:rPr>
              <w:t>24, 25, 26, 27</w:t>
            </w:r>
            <w:r>
              <w:rPr>
                <w:rFonts w:hint="default"/>
                <w:sz w:val="18"/>
                <w:szCs w:val="18"/>
                <w:lang w:val="en-US" w:eastAsia="zh-CN"/>
              </w:rPr>
              <w:t xml:space="preserve">, </w:t>
            </w:r>
            <w:r>
              <w:rPr>
                <w:rFonts w:hint="default"/>
                <w:sz w:val="18"/>
                <w:szCs w:val="18"/>
                <w:highlight w:val="yellow"/>
                <w:lang w:val="en-US" w:eastAsia="zh-CN"/>
              </w:rPr>
              <w:t>28, 29</w:t>
            </w:r>
            <w:r>
              <w:rPr>
                <w:rFonts w:hint="eastAsia"/>
                <w:sz w:val="18"/>
                <w:szCs w:val="18"/>
                <w:lang w:val="en-US" w:eastAsia="zh-CN"/>
              </w:rPr>
              <w:t>;  k1=6, k</w:t>
            </w:r>
            <w:r>
              <w:rPr>
                <w:rFonts w:hint="eastAsia"/>
                <w:sz w:val="18"/>
                <w:szCs w:val="18"/>
                <w:vertAlign w:val="subscript"/>
                <w:lang w:val="en-US" w:eastAsia="zh-CN"/>
              </w:rPr>
              <w:t xml:space="preserve">offset </w:t>
            </w:r>
            <w:r>
              <w:rPr>
                <w:rFonts w:hint="eastAsia"/>
                <w:sz w:val="18"/>
                <w:szCs w:val="18"/>
                <w:vertAlign w:val="baseline"/>
                <w:lang w:val="en-US" w:eastAsia="zh-CN"/>
              </w:rPr>
              <w:t>= 2</w:t>
            </w:r>
          </w:p>
        </w:tc>
      </w:tr>
    </w:tbl>
    <w:p>
      <w:pPr>
        <w:rPr>
          <w:rFonts w:hint="eastAsia" w:cs="Times New Roman"/>
          <w:kern w:val="2"/>
          <w:sz w:val="21"/>
          <w:lang w:val="en-US" w:eastAsia="zh-CN" w:bidi="ar-SA"/>
        </w:rPr>
      </w:pPr>
      <w:r>
        <w:rPr>
          <w:rFonts w:hint="eastAsia" w:cs="Times New Roman"/>
          <w:kern w:val="2"/>
          <w:sz w:val="21"/>
          <w:lang w:val="en-US" w:eastAsia="zh-CN" w:bidi="ar-SA"/>
        </w:rPr>
        <w:t xml:space="preserve">In general, both above methods have some drawbacks compared to legacy HARQ feedback method. Given that RAN1 specifications have been frozen, initiating revisions to the RAN1 spec is exceedingly challenging and beyond the scope of this WI. Therefore, RAN4 should consider a compromise approach to address this issue. </w:t>
      </w:r>
    </w:p>
    <w:p>
      <w:pPr>
        <w:rPr>
          <w:rFonts w:hint="default" w:cs="Times New Roman"/>
          <w:kern w:val="2"/>
          <w:sz w:val="21"/>
          <w:lang w:val="en-US" w:eastAsia="zh-CN" w:bidi="ar-SA"/>
        </w:rPr>
      </w:pPr>
      <w:r>
        <w:rPr>
          <w:rFonts w:hint="eastAsia" w:cs="Times New Roman"/>
          <w:kern w:val="2"/>
          <w:sz w:val="21"/>
          <w:lang w:val="en-US" w:eastAsia="zh-CN" w:bidi="ar-SA"/>
        </w:rPr>
        <w:t>Regarding the disable approach, we understand that HARQ disable is introduced in NTN scenario caused by larger delay. However, the motivation for introducing new pattern in ATG is to increase the network traffic. If too many HARQ processes are disabled in transmission, it implies that the transmission efficiency of many downlink slots cannot be guaranteed, resulting in a significant loss of network traffic. Compared to legacy TDD pattern, even with the introduction of so many downlink slots, we can not guarantee that all potential gains will be realized. In that case, what is significance of introducing a new TDD pattern. Meanwhile, we evaluated the performance of partial HARQ and all HARQ process in Fig. 1 and Fig. 2. From our simulation results, it can be seen that especially at low SNR condition, there is a noticeable decrease in throughput with partial HARQ, which can have a certain impact on system capacity. While under high SNR conditions both approaches achieve the same throughput. However, in real world environments, high SNR conditions are not consistently present.</w:t>
      </w:r>
    </w:p>
    <w:p>
      <w:pPr>
        <w:jc w:val="both"/>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1"/>
        <w:gridCol w:w="4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szCs w:val="20"/>
              </w:rPr>
            </w:pPr>
            <w:r>
              <w:rPr>
                <w:rFonts w:hint="default"/>
                <w:szCs w:val="20"/>
              </w:rPr>
              <w:drawing>
                <wp:inline distT="0" distB="0" distL="114300" distR="114300">
                  <wp:extent cx="3159125" cy="237490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3159125" cy="237490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szCs w:val="20"/>
                <w:lang w:val="en-US" w:eastAsia="zh-CN"/>
              </w:rPr>
            </w:pPr>
            <w:r>
              <w:rPr>
                <w:rFonts w:hint="eastAsia" w:cs="Times New Roman"/>
                <w:kern w:val="2"/>
                <w:sz w:val="21"/>
                <w:szCs w:val="20"/>
                <w:lang w:val="en-US" w:eastAsia="zh-CN" w:bidi="ar-SA"/>
              </w:rPr>
              <w:t>Fig . 1 Throughput curve for 30D4S6U with MCS 13 2T2R</w:t>
            </w:r>
          </w:p>
        </w:tc>
        <w:tc>
          <w:tcPr>
            <w:tcW w:w="4938" w:type="dxa"/>
          </w:tcPr>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szCs w:val="20"/>
              </w:rPr>
            </w:pPr>
            <w:r>
              <w:rPr>
                <w:rFonts w:hint="default"/>
                <w:szCs w:val="20"/>
              </w:rPr>
              <w:drawing>
                <wp:inline distT="0" distB="0" distL="114300" distR="114300">
                  <wp:extent cx="3154680" cy="2372360"/>
                  <wp:effectExtent l="0" t="0" r="0" b="508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4"/>
                          <a:stretch>
                            <a:fillRect/>
                          </a:stretch>
                        </pic:blipFill>
                        <pic:spPr>
                          <a:xfrm>
                            <a:off x="0" y="0"/>
                            <a:ext cx="3154680" cy="2372360"/>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szCs w:val="20"/>
                <w:lang w:val="en-US" w:eastAsia="zh-CN"/>
              </w:rPr>
            </w:pPr>
            <w:r>
              <w:rPr>
                <w:rFonts w:hint="eastAsia" w:cs="Times New Roman"/>
                <w:kern w:val="2"/>
                <w:sz w:val="21"/>
                <w:szCs w:val="20"/>
                <w:lang w:val="en-US" w:eastAsia="zh-CN" w:bidi="ar-SA"/>
              </w:rPr>
              <w:t>Fig. 2 Throughput curve for 30D4S6U with MCS 24 2T2R</w:t>
            </w:r>
          </w:p>
        </w:tc>
      </w:tr>
    </w:tbl>
    <w:p>
      <w:pPr>
        <w:rPr>
          <w:rFonts w:hint="default"/>
          <w:b/>
          <w:bCs/>
          <w:i/>
          <w:iCs/>
          <w:szCs w:val="21"/>
          <w:lang w:val="en-US" w:eastAsia="zh-CN"/>
        </w:rPr>
      </w:pPr>
      <w:r>
        <w:rPr>
          <w:rFonts w:hint="eastAsia"/>
          <w:b/>
          <w:bCs/>
          <w:i/>
          <w:iCs/>
          <w:szCs w:val="21"/>
          <w:lang w:val="en-US" w:eastAsia="zh-CN"/>
        </w:rPr>
        <w:t>Observation 1. From our simulation results, it can be seen that especially at low SNR condition, there is a noticeable decrease in throughput with partial HARQ, which can have a certain impact on system capacity.</w:t>
      </w:r>
    </w:p>
    <w:p>
      <w:pPr>
        <w:jc w:val="both"/>
        <w:rPr>
          <w:rFonts w:hint="eastAsia" w:cs="Times New Roman"/>
          <w:kern w:val="2"/>
          <w:sz w:val="21"/>
          <w:lang w:val="en-US" w:eastAsia="zh-CN" w:bidi="ar-SA"/>
        </w:rPr>
      </w:pPr>
      <w:r>
        <w:rPr>
          <w:rFonts w:hint="eastAsia" w:cs="Times New Roman"/>
          <w:kern w:val="2"/>
          <w:sz w:val="21"/>
          <w:lang w:val="en-US" w:eastAsia="zh-CN" w:bidi="ar-SA"/>
        </w:rPr>
        <w:t>On the contrary, outOfOrderOperationDL-r16 may impose some additional burdens on the UE, but it would have little impact on the overall system</w:t>
      </w:r>
      <w:r>
        <w:rPr>
          <w:rFonts w:hint="default" w:cs="Times New Roman"/>
          <w:kern w:val="2"/>
          <w:sz w:val="21"/>
          <w:lang w:val="en-US" w:eastAsia="zh-CN" w:bidi="ar-SA"/>
        </w:rPr>
        <w:t>’</w:t>
      </w:r>
      <w:r>
        <w:rPr>
          <w:rFonts w:hint="eastAsia" w:cs="Times New Roman"/>
          <w:kern w:val="2"/>
          <w:sz w:val="21"/>
          <w:lang w:val="en-US" w:eastAsia="zh-CN" w:bidi="ar-SA"/>
        </w:rPr>
        <w:t>s traffic scheduling that all downlink slots transmission could be guaranteed. As a consequence, we prefer to consider the outOfOrderOperationDL-r16 as a solution to the ATG HARQ timing from implementation perspective.</w:t>
      </w:r>
    </w:p>
    <w:p>
      <w:pPr>
        <w:rPr>
          <w:rFonts w:hint="default"/>
          <w:b/>
          <w:bCs/>
          <w:i/>
          <w:iCs/>
          <w:szCs w:val="21"/>
          <w:lang w:val="en-US" w:eastAsia="zh-CN"/>
        </w:rPr>
      </w:pPr>
      <w:r>
        <w:rPr>
          <w:rFonts w:hint="eastAsia"/>
          <w:b/>
          <w:bCs/>
          <w:i/>
          <w:iCs/>
          <w:szCs w:val="21"/>
          <w:lang w:val="en-US" w:eastAsia="zh-CN"/>
        </w:rPr>
        <w:t>Proposal 1. Confirm that the outOfOrderOperationDL-r16 is a solution to the ATG HARQ timing issue.</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lang w:val="en-US" w:eastAsia="zh-CN"/>
        </w:rPr>
      </w:pPr>
      <w:r>
        <w:rPr>
          <w:kern w:val="0"/>
          <w:sz w:val="20"/>
        </w:rPr>
        <w:t xml:space="preserve">In this contribution, </w:t>
      </w:r>
      <w:r>
        <w:rPr>
          <w:rFonts w:hint="eastAsia"/>
          <w:bCs/>
          <w:kern w:val="0"/>
          <w:szCs w:val="21"/>
        </w:rPr>
        <w:t xml:space="preserve">we give some discussions on the </w:t>
      </w:r>
      <w:r>
        <w:rPr>
          <w:rFonts w:hint="eastAsia"/>
          <w:bCs/>
          <w:kern w:val="0"/>
          <w:szCs w:val="21"/>
          <w:lang w:val="en-US" w:eastAsia="zh-CN"/>
        </w:rPr>
        <w:t>HARQ k1 value for ATG</w:t>
      </w:r>
      <w:r>
        <w:rPr>
          <w:rFonts w:hint="eastAsia"/>
          <w:bCs/>
          <w:kern w:val="0"/>
          <w:szCs w:val="21"/>
        </w:rPr>
        <w:t>, The conclusion</w:t>
      </w:r>
      <w:r>
        <w:rPr>
          <w:rFonts w:hint="eastAsia"/>
          <w:bCs/>
          <w:kern w:val="0"/>
          <w:szCs w:val="21"/>
          <w:lang w:val="en-US" w:eastAsia="zh-CN"/>
        </w:rPr>
        <w:t xml:space="preserve"> are:</w:t>
      </w:r>
    </w:p>
    <w:p>
      <w:pPr>
        <w:rPr>
          <w:rFonts w:hint="default"/>
          <w:bCs/>
          <w:kern w:val="0"/>
          <w:szCs w:val="21"/>
          <w:lang w:val="en-US" w:eastAsia="zh-CN"/>
        </w:rPr>
      </w:pPr>
      <w:r>
        <w:rPr>
          <w:rFonts w:hint="eastAsia"/>
          <w:b/>
          <w:bCs/>
          <w:i/>
          <w:iCs/>
          <w:szCs w:val="21"/>
          <w:lang w:val="en-US" w:eastAsia="zh-CN"/>
        </w:rPr>
        <w:t>Observation 1. From our simulation results, it can be seen that especially at low SNR condition, there is a noticeable decrease in throughput with partial HARQ, which can have a certain impact on system capacity.</w:t>
      </w:r>
    </w:p>
    <w:p>
      <w:pPr>
        <w:rPr>
          <w:rFonts w:hint="eastAsia"/>
          <w:b/>
          <w:bCs/>
          <w:i/>
          <w:iCs/>
          <w:szCs w:val="21"/>
          <w:lang w:val="en-US" w:eastAsia="zh-CN"/>
        </w:rPr>
      </w:pPr>
      <w:r>
        <w:rPr>
          <w:rFonts w:hint="eastAsia"/>
          <w:b/>
          <w:bCs/>
          <w:i/>
          <w:iCs/>
          <w:szCs w:val="21"/>
          <w:lang w:val="en-US" w:eastAsia="zh-CN"/>
        </w:rPr>
        <w:t>Proposal 1. Confirm that the outOfOrderOperationDL-r16 is a solution to the ATG HARQ timing issue.</w:t>
      </w:r>
    </w:p>
    <w:p>
      <w:pPr>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pStyle w:val="36"/>
        <w:numPr>
          <w:ilvl w:val="0"/>
          <w:numId w:val="0"/>
        </w:numPr>
        <w:spacing w:afterLines="0" w:line="259" w:lineRule="auto"/>
        <w:ind w:right="-22" w:rightChars="0"/>
        <w:jc w:val="left"/>
        <w:rPr>
          <w:rFonts w:hint="default" w:eastAsia="宋体" w:cstheme="minorBidi"/>
          <w:kern w:val="0"/>
          <w:sz w:val="21"/>
          <w:szCs w:val="21"/>
          <w:lang w:val="en-US" w:eastAsia="zh-CN"/>
        </w:rPr>
      </w:pPr>
      <w:r>
        <w:rPr>
          <w:rFonts w:hint="eastAsia" w:eastAsia="宋体" w:cstheme="minorBidi"/>
          <w:kern w:val="0"/>
          <w:sz w:val="21"/>
          <w:szCs w:val="21"/>
          <w:lang w:val="en-US" w:eastAsia="zh-CN"/>
        </w:rPr>
        <w:t>[1] R4-2413604, CR to TS 38.101-4 corrections of PDSCH and corresponding HARQ-ACK relationship for 30D4S6U TDD pattern for ATG. CMCC.</w:t>
      </w: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left"/>
        <w:rPr>
          <w:rFonts w:eastAsiaTheme="minorHAnsi" w:cstheme="minorBidi"/>
          <w:kern w:val="0"/>
          <w:sz w:val="21"/>
          <w:szCs w:val="21"/>
          <w:lang w:eastAsia="en-US"/>
        </w:rPr>
      </w:pPr>
    </w:p>
    <w:p>
      <w:pPr>
        <w:pStyle w:val="36"/>
        <w:numPr>
          <w:ilvl w:val="0"/>
          <w:numId w:val="0"/>
        </w:numPr>
        <w:spacing w:afterLines="0" w:line="259" w:lineRule="auto"/>
        <w:ind w:right="-22" w:rightChars="0"/>
        <w:jc w:val="both"/>
        <w:rPr>
          <w:rFonts w:hint="eastAsia"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2</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D1D66"/>
    <w:rsid w:val="059D265F"/>
    <w:rsid w:val="05B2756C"/>
    <w:rsid w:val="05B92EC1"/>
    <w:rsid w:val="05D03328"/>
    <w:rsid w:val="05E078B3"/>
    <w:rsid w:val="05EE6E49"/>
    <w:rsid w:val="0601277E"/>
    <w:rsid w:val="060C5931"/>
    <w:rsid w:val="060C5AED"/>
    <w:rsid w:val="06103146"/>
    <w:rsid w:val="06172561"/>
    <w:rsid w:val="061E54DA"/>
    <w:rsid w:val="061E5E22"/>
    <w:rsid w:val="06460B91"/>
    <w:rsid w:val="0654187C"/>
    <w:rsid w:val="065475DE"/>
    <w:rsid w:val="06654281"/>
    <w:rsid w:val="0677709C"/>
    <w:rsid w:val="067C28D6"/>
    <w:rsid w:val="068677B6"/>
    <w:rsid w:val="068967F5"/>
    <w:rsid w:val="068B36F9"/>
    <w:rsid w:val="068E06BC"/>
    <w:rsid w:val="069201CB"/>
    <w:rsid w:val="06A613AE"/>
    <w:rsid w:val="06B741D9"/>
    <w:rsid w:val="06C457B6"/>
    <w:rsid w:val="06CD4A70"/>
    <w:rsid w:val="06DF4C13"/>
    <w:rsid w:val="06E7678C"/>
    <w:rsid w:val="06E97451"/>
    <w:rsid w:val="06F42A88"/>
    <w:rsid w:val="06F801C0"/>
    <w:rsid w:val="06FB38AA"/>
    <w:rsid w:val="071C13A8"/>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D524D"/>
    <w:rsid w:val="080124E3"/>
    <w:rsid w:val="080C7FA0"/>
    <w:rsid w:val="082D5BBC"/>
    <w:rsid w:val="08341060"/>
    <w:rsid w:val="08787FF0"/>
    <w:rsid w:val="088178D8"/>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17059"/>
    <w:rsid w:val="0E3352C6"/>
    <w:rsid w:val="0E5433AA"/>
    <w:rsid w:val="0E55772D"/>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330B0"/>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EE01D6"/>
    <w:rsid w:val="10F52718"/>
    <w:rsid w:val="11163B35"/>
    <w:rsid w:val="114028DC"/>
    <w:rsid w:val="11404ED0"/>
    <w:rsid w:val="116A74C9"/>
    <w:rsid w:val="116F1EB0"/>
    <w:rsid w:val="11763F26"/>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55180"/>
    <w:rsid w:val="141E583B"/>
    <w:rsid w:val="1424615D"/>
    <w:rsid w:val="142C143A"/>
    <w:rsid w:val="143D75EE"/>
    <w:rsid w:val="145D452A"/>
    <w:rsid w:val="145F07C7"/>
    <w:rsid w:val="146C5189"/>
    <w:rsid w:val="14794EEF"/>
    <w:rsid w:val="14816B50"/>
    <w:rsid w:val="148313F4"/>
    <w:rsid w:val="14831DAA"/>
    <w:rsid w:val="1484169C"/>
    <w:rsid w:val="14934F1A"/>
    <w:rsid w:val="149559C4"/>
    <w:rsid w:val="1497445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6C0FB4"/>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21E1B"/>
    <w:rsid w:val="16EB6E00"/>
    <w:rsid w:val="16FD2447"/>
    <w:rsid w:val="170A628B"/>
    <w:rsid w:val="1712339A"/>
    <w:rsid w:val="171E63FC"/>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539C6"/>
    <w:rsid w:val="183E1D37"/>
    <w:rsid w:val="184D0787"/>
    <w:rsid w:val="185D1883"/>
    <w:rsid w:val="18812331"/>
    <w:rsid w:val="18816F1C"/>
    <w:rsid w:val="18853F3E"/>
    <w:rsid w:val="18945127"/>
    <w:rsid w:val="18956393"/>
    <w:rsid w:val="18A8582C"/>
    <w:rsid w:val="18B50543"/>
    <w:rsid w:val="18CD7A02"/>
    <w:rsid w:val="18F86F87"/>
    <w:rsid w:val="19001FFC"/>
    <w:rsid w:val="190E2B4A"/>
    <w:rsid w:val="19256D7A"/>
    <w:rsid w:val="19322C83"/>
    <w:rsid w:val="193275C2"/>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E5F99"/>
    <w:rsid w:val="1A4858FF"/>
    <w:rsid w:val="1A4C698A"/>
    <w:rsid w:val="1A563640"/>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8D49C2"/>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446291"/>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480E15"/>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D54EC3"/>
    <w:rsid w:val="1FE1514A"/>
    <w:rsid w:val="1FE312AC"/>
    <w:rsid w:val="1FEC5915"/>
    <w:rsid w:val="1FED32EF"/>
    <w:rsid w:val="200631D6"/>
    <w:rsid w:val="20412383"/>
    <w:rsid w:val="20446081"/>
    <w:rsid w:val="204852AD"/>
    <w:rsid w:val="204E6676"/>
    <w:rsid w:val="20590807"/>
    <w:rsid w:val="205A5AA0"/>
    <w:rsid w:val="20773A28"/>
    <w:rsid w:val="20814938"/>
    <w:rsid w:val="208574F4"/>
    <w:rsid w:val="208F6BAF"/>
    <w:rsid w:val="209A6308"/>
    <w:rsid w:val="20A462BA"/>
    <w:rsid w:val="20A976E7"/>
    <w:rsid w:val="20BF2AAC"/>
    <w:rsid w:val="20C849C7"/>
    <w:rsid w:val="20DF66D2"/>
    <w:rsid w:val="20EC3F2E"/>
    <w:rsid w:val="20EC7C3E"/>
    <w:rsid w:val="21050673"/>
    <w:rsid w:val="210548E9"/>
    <w:rsid w:val="21124D15"/>
    <w:rsid w:val="213E7119"/>
    <w:rsid w:val="213F7386"/>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4254A"/>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1201A6"/>
    <w:rsid w:val="27204B5D"/>
    <w:rsid w:val="272F31A0"/>
    <w:rsid w:val="27342901"/>
    <w:rsid w:val="273D2762"/>
    <w:rsid w:val="27470B72"/>
    <w:rsid w:val="27483874"/>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45C09"/>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585A33"/>
    <w:rsid w:val="2A6E31F8"/>
    <w:rsid w:val="2A8A2F9C"/>
    <w:rsid w:val="2A9226E6"/>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E7AA7"/>
    <w:rsid w:val="316E7CA0"/>
    <w:rsid w:val="317206BF"/>
    <w:rsid w:val="317932EA"/>
    <w:rsid w:val="317E5000"/>
    <w:rsid w:val="31B37C6E"/>
    <w:rsid w:val="31B718F2"/>
    <w:rsid w:val="31B912B2"/>
    <w:rsid w:val="31BE78AB"/>
    <w:rsid w:val="31D20051"/>
    <w:rsid w:val="31EF7EE8"/>
    <w:rsid w:val="31F1357D"/>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0326B"/>
    <w:rsid w:val="32DF351E"/>
    <w:rsid w:val="32E4188C"/>
    <w:rsid w:val="32E660DB"/>
    <w:rsid w:val="32EE5E41"/>
    <w:rsid w:val="32EF1922"/>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E23D2D"/>
    <w:rsid w:val="33FE62E7"/>
    <w:rsid w:val="340D25F6"/>
    <w:rsid w:val="340F5E5C"/>
    <w:rsid w:val="342B76C7"/>
    <w:rsid w:val="342C472B"/>
    <w:rsid w:val="343A1527"/>
    <w:rsid w:val="34447898"/>
    <w:rsid w:val="344E62FA"/>
    <w:rsid w:val="3450174B"/>
    <w:rsid w:val="3472234D"/>
    <w:rsid w:val="347B114D"/>
    <w:rsid w:val="347D500F"/>
    <w:rsid w:val="34830157"/>
    <w:rsid w:val="34872D27"/>
    <w:rsid w:val="34876543"/>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A30ED5"/>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C43643"/>
    <w:rsid w:val="39C77B3B"/>
    <w:rsid w:val="39D7513A"/>
    <w:rsid w:val="39DB12EF"/>
    <w:rsid w:val="39F36281"/>
    <w:rsid w:val="39F56CC2"/>
    <w:rsid w:val="39FD376D"/>
    <w:rsid w:val="39FD6C9C"/>
    <w:rsid w:val="3A0224B9"/>
    <w:rsid w:val="3A16794C"/>
    <w:rsid w:val="3A1D69F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67C29"/>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6391C"/>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19C6"/>
    <w:rsid w:val="40713C35"/>
    <w:rsid w:val="40745F23"/>
    <w:rsid w:val="40830062"/>
    <w:rsid w:val="40836272"/>
    <w:rsid w:val="408376F8"/>
    <w:rsid w:val="40A25054"/>
    <w:rsid w:val="40A325E0"/>
    <w:rsid w:val="40BD0DA1"/>
    <w:rsid w:val="40C1274D"/>
    <w:rsid w:val="40C93CB0"/>
    <w:rsid w:val="40EC7D18"/>
    <w:rsid w:val="40ED11A0"/>
    <w:rsid w:val="40FD1BF0"/>
    <w:rsid w:val="41096BC0"/>
    <w:rsid w:val="410A75B6"/>
    <w:rsid w:val="410B452A"/>
    <w:rsid w:val="413353F1"/>
    <w:rsid w:val="41466208"/>
    <w:rsid w:val="41513BC9"/>
    <w:rsid w:val="415735F1"/>
    <w:rsid w:val="41595743"/>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EF4FB3"/>
    <w:rsid w:val="42F17BF5"/>
    <w:rsid w:val="42F87EC9"/>
    <w:rsid w:val="42FA45BF"/>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ED30A1"/>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21352"/>
    <w:rsid w:val="458667C4"/>
    <w:rsid w:val="45883085"/>
    <w:rsid w:val="458F5163"/>
    <w:rsid w:val="459C5A47"/>
    <w:rsid w:val="45A82F38"/>
    <w:rsid w:val="45AC0441"/>
    <w:rsid w:val="45AE5935"/>
    <w:rsid w:val="45B047D1"/>
    <w:rsid w:val="45BE6191"/>
    <w:rsid w:val="45BE648C"/>
    <w:rsid w:val="45CD2126"/>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9B7F22"/>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6D526A"/>
    <w:rsid w:val="476F439D"/>
    <w:rsid w:val="47725A17"/>
    <w:rsid w:val="477D3243"/>
    <w:rsid w:val="478821A1"/>
    <w:rsid w:val="479128A9"/>
    <w:rsid w:val="47975EDC"/>
    <w:rsid w:val="47983B19"/>
    <w:rsid w:val="47A3609D"/>
    <w:rsid w:val="47C01792"/>
    <w:rsid w:val="47C57A48"/>
    <w:rsid w:val="47D511BD"/>
    <w:rsid w:val="47D52718"/>
    <w:rsid w:val="47DC3773"/>
    <w:rsid w:val="4808150F"/>
    <w:rsid w:val="480F51A8"/>
    <w:rsid w:val="48256B1B"/>
    <w:rsid w:val="48282713"/>
    <w:rsid w:val="484417FA"/>
    <w:rsid w:val="48450ECE"/>
    <w:rsid w:val="484759CD"/>
    <w:rsid w:val="484A10F9"/>
    <w:rsid w:val="484B14EC"/>
    <w:rsid w:val="486962FA"/>
    <w:rsid w:val="48713351"/>
    <w:rsid w:val="487E111C"/>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4E5776"/>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A780A"/>
    <w:rsid w:val="4CED698D"/>
    <w:rsid w:val="4CF52D94"/>
    <w:rsid w:val="4D43301D"/>
    <w:rsid w:val="4D462159"/>
    <w:rsid w:val="4D566017"/>
    <w:rsid w:val="4D6D36A4"/>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AF115B"/>
    <w:rsid w:val="4EC50C90"/>
    <w:rsid w:val="4EDB58B2"/>
    <w:rsid w:val="4EE925CE"/>
    <w:rsid w:val="4EEF2E30"/>
    <w:rsid w:val="4EF16D1A"/>
    <w:rsid w:val="4EF24828"/>
    <w:rsid w:val="4EFE7F59"/>
    <w:rsid w:val="4F171C50"/>
    <w:rsid w:val="4F285975"/>
    <w:rsid w:val="4F290E6D"/>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E75F40"/>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8B2778"/>
    <w:rsid w:val="52A24532"/>
    <w:rsid w:val="52A45841"/>
    <w:rsid w:val="52B3363A"/>
    <w:rsid w:val="52C4202F"/>
    <w:rsid w:val="52C4763C"/>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7D78E9"/>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6771"/>
    <w:rsid w:val="55F5152F"/>
    <w:rsid w:val="560B1622"/>
    <w:rsid w:val="56106284"/>
    <w:rsid w:val="562C1706"/>
    <w:rsid w:val="5632642A"/>
    <w:rsid w:val="56327A2B"/>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1C599D"/>
    <w:rsid w:val="58500F22"/>
    <w:rsid w:val="585103F5"/>
    <w:rsid w:val="58587379"/>
    <w:rsid w:val="586D57A3"/>
    <w:rsid w:val="587917A0"/>
    <w:rsid w:val="587A4288"/>
    <w:rsid w:val="5880052B"/>
    <w:rsid w:val="58802568"/>
    <w:rsid w:val="588B1570"/>
    <w:rsid w:val="588C14D4"/>
    <w:rsid w:val="58AC41AA"/>
    <w:rsid w:val="58AD27D9"/>
    <w:rsid w:val="58B169A2"/>
    <w:rsid w:val="58B9636C"/>
    <w:rsid w:val="58BF1E19"/>
    <w:rsid w:val="58C37133"/>
    <w:rsid w:val="58C93046"/>
    <w:rsid w:val="58D36BCB"/>
    <w:rsid w:val="58E169DF"/>
    <w:rsid w:val="58E6349C"/>
    <w:rsid w:val="58EC037F"/>
    <w:rsid w:val="58EF63EE"/>
    <w:rsid w:val="58FB7FCD"/>
    <w:rsid w:val="590317F0"/>
    <w:rsid w:val="59075000"/>
    <w:rsid w:val="59200EBC"/>
    <w:rsid w:val="593559FD"/>
    <w:rsid w:val="594079B2"/>
    <w:rsid w:val="594A13D7"/>
    <w:rsid w:val="594B366D"/>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443F2B"/>
    <w:rsid w:val="5B5F300B"/>
    <w:rsid w:val="5B66707B"/>
    <w:rsid w:val="5B673066"/>
    <w:rsid w:val="5B785E83"/>
    <w:rsid w:val="5B7C1CD1"/>
    <w:rsid w:val="5B82056F"/>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35386"/>
    <w:rsid w:val="5C3B6CFC"/>
    <w:rsid w:val="5C4C2CF4"/>
    <w:rsid w:val="5C5A77B9"/>
    <w:rsid w:val="5C6B1600"/>
    <w:rsid w:val="5C712B6D"/>
    <w:rsid w:val="5C74256C"/>
    <w:rsid w:val="5C7D70D1"/>
    <w:rsid w:val="5C8542A8"/>
    <w:rsid w:val="5C975416"/>
    <w:rsid w:val="5CA1479B"/>
    <w:rsid w:val="5CA6294E"/>
    <w:rsid w:val="5CAB7154"/>
    <w:rsid w:val="5CC46E8A"/>
    <w:rsid w:val="5CD1155B"/>
    <w:rsid w:val="5CD8648B"/>
    <w:rsid w:val="5CDB2E8C"/>
    <w:rsid w:val="5CDB3358"/>
    <w:rsid w:val="5CED4E0C"/>
    <w:rsid w:val="5CEF1DC1"/>
    <w:rsid w:val="5CF94FAE"/>
    <w:rsid w:val="5CFA2018"/>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0E75"/>
    <w:rsid w:val="5E1D4A67"/>
    <w:rsid w:val="5E2269A6"/>
    <w:rsid w:val="5E237029"/>
    <w:rsid w:val="5E2E5FF4"/>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97B45"/>
    <w:rsid w:val="5EED7893"/>
    <w:rsid w:val="5F0A3A61"/>
    <w:rsid w:val="5F265461"/>
    <w:rsid w:val="5F4F1B95"/>
    <w:rsid w:val="5F683B6E"/>
    <w:rsid w:val="5F6D531F"/>
    <w:rsid w:val="5F875C0C"/>
    <w:rsid w:val="5F8F0B9E"/>
    <w:rsid w:val="5F8F267A"/>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7C3E58"/>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41DA"/>
    <w:rsid w:val="61421EFD"/>
    <w:rsid w:val="61564B4F"/>
    <w:rsid w:val="615C5041"/>
    <w:rsid w:val="61613111"/>
    <w:rsid w:val="61635733"/>
    <w:rsid w:val="61677A5D"/>
    <w:rsid w:val="61705965"/>
    <w:rsid w:val="6182260C"/>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9F3A80"/>
    <w:rsid w:val="63A9658E"/>
    <w:rsid w:val="63B73AA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84329"/>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178E1"/>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A266A"/>
    <w:rsid w:val="677C1A81"/>
    <w:rsid w:val="67AA1080"/>
    <w:rsid w:val="67B163D1"/>
    <w:rsid w:val="67D92E70"/>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128F1"/>
    <w:rsid w:val="6B4B0A4C"/>
    <w:rsid w:val="6B50310B"/>
    <w:rsid w:val="6B5045E2"/>
    <w:rsid w:val="6B736A2E"/>
    <w:rsid w:val="6B8170D6"/>
    <w:rsid w:val="6B884219"/>
    <w:rsid w:val="6B90781F"/>
    <w:rsid w:val="6B974370"/>
    <w:rsid w:val="6B9C76AD"/>
    <w:rsid w:val="6BA9194F"/>
    <w:rsid w:val="6BAC41DA"/>
    <w:rsid w:val="6BAE64BE"/>
    <w:rsid w:val="6BE727F5"/>
    <w:rsid w:val="6BEE7CAA"/>
    <w:rsid w:val="6BF34791"/>
    <w:rsid w:val="6BF36ABE"/>
    <w:rsid w:val="6C240DF3"/>
    <w:rsid w:val="6C2E6123"/>
    <w:rsid w:val="6C45610F"/>
    <w:rsid w:val="6C547243"/>
    <w:rsid w:val="6C547446"/>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9109F"/>
    <w:rsid w:val="6FD87CB4"/>
    <w:rsid w:val="6FDB518F"/>
    <w:rsid w:val="6FDD13A5"/>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C5E95"/>
    <w:rsid w:val="72B548F7"/>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6066E"/>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2D7836"/>
    <w:rsid w:val="7A4C2D60"/>
    <w:rsid w:val="7A6D61A5"/>
    <w:rsid w:val="7A6E4BF5"/>
    <w:rsid w:val="7A721EC3"/>
    <w:rsid w:val="7A730C57"/>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60A24"/>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381A5A"/>
    <w:rsid w:val="7C4A2BD1"/>
    <w:rsid w:val="7C576C70"/>
    <w:rsid w:val="7C77043F"/>
    <w:rsid w:val="7C895074"/>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A787F"/>
    <w:rsid w:val="7D3B3737"/>
    <w:rsid w:val="7D3D73AF"/>
    <w:rsid w:val="7D5B27C9"/>
    <w:rsid w:val="7D62117D"/>
    <w:rsid w:val="7D794101"/>
    <w:rsid w:val="7D834A16"/>
    <w:rsid w:val="7D9D438F"/>
    <w:rsid w:val="7DA514D2"/>
    <w:rsid w:val="7DBE1B45"/>
    <w:rsid w:val="7DC03698"/>
    <w:rsid w:val="7DCD4EB5"/>
    <w:rsid w:val="7DCF5B74"/>
    <w:rsid w:val="7DEE3937"/>
    <w:rsid w:val="7E0427CB"/>
    <w:rsid w:val="7E090313"/>
    <w:rsid w:val="7E3647B6"/>
    <w:rsid w:val="7E3E0FEC"/>
    <w:rsid w:val="7E3E1EF2"/>
    <w:rsid w:val="7E417270"/>
    <w:rsid w:val="7E5C1ABA"/>
    <w:rsid w:val="7E62165E"/>
    <w:rsid w:val="7E622778"/>
    <w:rsid w:val="7E756346"/>
    <w:rsid w:val="7E7B70FE"/>
    <w:rsid w:val="7E7D4A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590EFE"/>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qFormat="1" w:unhideWhenUsed="0" w:uiPriority="0" w:semiHidden="0"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2"/>
    <w:next w:val="1"/>
    <w:qFormat/>
    <w:uiPriority w:val="0"/>
    <w:pPr>
      <w:ind w:left="0" w:firstLine="0"/>
      <w:outlineLvl w:val="7"/>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List 3"/>
    <w:basedOn w:val="11"/>
    <w:semiHidden/>
    <w:qFormat/>
    <w:uiPriority w:val="0"/>
    <w:pPr>
      <w:ind w:left="1135"/>
    </w:pPr>
  </w:style>
  <w:style w:type="paragraph" w:styleId="11">
    <w:name w:val="List 2"/>
    <w:basedOn w:val="12"/>
    <w:semiHidden/>
    <w:qFormat/>
    <w:uiPriority w:val="0"/>
    <w:pPr>
      <w:ind w:left="851"/>
    </w:pPr>
  </w:style>
  <w:style w:type="paragraph" w:styleId="12">
    <w:name w:val="List"/>
    <w:basedOn w:val="1"/>
    <w:qFormat/>
    <w:uiPriority w:val="0"/>
    <w:pPr>
      <w:ind w:left="568" w:hanging="284"/>
    </w:pPr>
  </w:style>
  <w:style w:type="paragraph" w:styleId="13">
    <w:name w:val="caption"/>
    <w:basedOn w:val="1"/>
    <w:next w:val="1"/>
    <w:qFormat/>
    <w:uiPriority w:val="0"/>
    <w:pPr>
      <w:overflowPunct w:val="0"/>
      <w:autoSpaceDE w:val="0"/>
      <w:autoSpaceDN w:val="0"/>
      <w:adjustRightInd w:val="0"/>
      <w:spacing w:before="120" w:after="120"/>
      <w:textAlignment w:val="baseline"/>
    </w:pPr>
    <w:rPr>
      <w:b/>
    </w:rPr>
  </w:style>
  <w:style w:type="paragraph" w:styleId="14">
    <w:name w:val="Document Map"/>
    <w:basedOn w:val="1"/>
    <w:link w:val="43"/>
    <w:semiHidden/>
    <w:unhideWhenUsed/>
    <w:qFormat/>
    <w:uiPriority w:val="99"/>
    <w:rPr>
      <w:rFonts w:ascii="宋体"/>
      <w:sz w:val="18"/>
      <w:szCs w:val="18"/>
    </w:rPr>
  </w:style>
  <w:style w:type="paragraph" w:styleId="15">
    <w:name w:val="annotation text"/>
    <w:basedOn w:val="1"/>
    <w:link w:val="44"/>
    <w:unhideWhenUsed/>
    <w:qFormat/>
    <w:uiPriority w:val="0"/>
    <w:pPr>
      <w:spacing w:before="120" w:after="120"/>
      <w:jc w:val="left"/>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2"/>
    <w:semiHidden/>
    <w:unhideWhenUsed/>
    <w:qFormat/>
    <w:uiPriority w:val="99"/>
    <w:pPr>
      <w:spacing w:line="240" w:lineRule="auto"/>
    </w:pPr>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0"/>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5"/>
    <w:next w:val="15"/>
    <w:link w:val="45"/>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annotation reference"/>
    <w:basedOn w:val="27"/>
    <w:unhideWhenUsed/>
    <w:qFormat/>
    <w:uiPriority w:val="0"/>
    <w:rPr>
      <w:sz w:val="16"/>
      <w:szCs w:val="16"/>
    </w:rPr>
  </w:style>
  <w:style w:type="character" w:customStyle="1" w:styleId="32">
    <w:name w:val="批注框文本 Char"/>
    <w:basedOn w:val="27"/>
    <w:link w:val="17"/>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7"/>
    <w:link w:val="19"/>
    <w:semiHidden/>
    <w:qFormat/>
    <w:uiPriority w:val="0"/>
    <w:rPr>
      <w:rFonts w:eastAsia="宋体"/>
      <w:kern w:val="2"/>
      <w:sz w:val="21"/>
    </w:rPr>
  </w:style>
  <w:style w:type="character" w:customStyle="1" w:styleId="41">
    <w:name w:val="页脚 Char"/>
    <w:basedOn w:val="27"/>
    <w:link w:val="18"/>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7"/>
    <w:link w:val="14"/>
    <w:semiHidden/>
    <w:qFormat/>
    <w:uiPriority w:val="99"/>
    <w:rPr>
      <w:rFonts w:ascii="宋体"/>
      <w:kern w:val="2"/>
      <w:sz w:val="18"/>
      <w:szCs w:val="18"/>
    </w:rPr>
  </w:style>
  <w:style w:type="character" w:customStyle="1" w:styleId="44">
    <w:name w:val="批注文字 Char"/>
    <w:basedOn w:val="27"/>
    <w:link w:val="15"/>
    <w:qFormat/>
    <w:uiPriority w:val="0"/>
    <w:rPr>
      <w:rFonts w:eastAsia="宋体"/>
      <w:kern w:val="2"/>
      <w:sz w:val="21"/>
    </w:rPr>
  </w:style>
  <w:style w:type="character" w:customStyle="1" w:styleId="45">
    <w:name w:val="批注主题 Char"/>
    <w:basedOn w:val="44"/>
    <w:link w:val="24"/>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2"/>
    <w:link w:val="63"/>
    <w:qFormat/>
    <w:uiPriority w:val="0"/>
  </w:style>
  <w:style w:type="paragraph" w:customStyle="1" w:styleId="50">
    <w:name w:val="B3"/>
    <w:basedOn w:val="10"/>
    <w:qFormat/>
    <w:uiPriority w:val="0"/>
    <w:pPr>
      <w:ind w:left="1135" w:hanging="284"/>
    </w:pPr>
  </w:style>
  <w:style w:type="character" w:styleId="51">
    <w:name w:val="Placeholder Text"/>
    <w:basedOn w:val="27"/>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7"/>
    <w:link w:val="5"/>
    <w:qFormat/>
    <w:uiPriority w:val="0"/>
    <w:rPr>
      <w:rFonts w:ascii="Arial" w:hAnsi="Arial" w:eastAsia="MS Mincho"/>
      <w:kern w:val="2"/>
      <w:sz w:val="24"/>
    </w:rPr>
  </w:style>
  <w:style w:type="character" w:customStyle="1" w:styleId="56">
    <w:name w:val="标题 3 Char"/>
    <w:basedOn w:val="27"/>
    <w:link w:val="4"/>
    <w:qFormat/>
    <w:uiPriority w:val="0"/>
    <w:rPr>
      <w:rFonts w:ascii="Arial" w:hAnsi="Arial" w:eastAsia="MS Mincho"/>
      <w:kern w:val="2"/>
      <w:sz w:val="24"/>
    </w:rPr>
  </w:style>
  <w:style w:type="character" w:customStyle="1" w:styleId="57">
    <w:name w:val="标题 2 Char"/>
    <w:basedOn w:val="27"/>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修订1"/>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7"/>
    <w:qFormat/>
    <w:uiPriority w:val="0"/>
  </w:style>
  <w:style w:type="paragraph" w:customStyle="1" w:styleId="74">
    <w:name w:val="样式 页眉"/>
    <w:basedOn w:val="19"/>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10"/>
    <w:basedOn w:val="27"/>
    <w:qFormat/>
    <w:uiPriority w:val="0"/>
    <w:rPr>
      <w:rFonts w:hint="default" w:ascii="Times New Roman" w:hAnsi="Times New Roman" w:cs="Times New Roman"/>
    </w:rPr>
  </w:style>
  <w:style w:type="character" w:customStyle="1" w:styleId="77">
    <w:name w:val="15"/>
    <w:basedOn w:val="27"/>
    <w:qFormat/>
    <w:uiPriority w:val="0"/>
    <w:rPr>
      <w:rFonts w:hint="default" w:ascii="Times New Roman" w:hAnsi="Times New Roman" w:cs="Times New Roman"/>
    </w:rPr>
  </w:style>
  <w:style w:type="paragraph" w:customStyle="1" w:styleId="78">
    <w:name w:val="列出段落1"/>
    <w:basedOn w:val="1"/>
    <w:qFormat/>
    <w:uiPriority w:val="0"/>
    <w:pPr>
      <w:spacing w:after="180"/>
      <w:ind w:firstLine="420" w:firstLineChars="200"/>
      <w:jc w:val="left"/>
    </w:pPr>
    <w:rPr>
      <w:kern w:val="0"/>
    </w:rPr>
  </w:style>
  <w:style w:type="paragraph" w:customStyle="1" w:styleId="79">
    <w:name w:val="TF"/>
    <w:basedOn w:val="58"/>
    <w:qFormat/>
    <w:uiPriority w:val="0"/>
    <w:pPr>
      <w:keepNext w:val="0"/>
      <w:spacing w:before="0" w:after="240"/>
    </w:pPr>
  </w:style>
  <w:style w:type="paragraph" w:customStyle="1" w:styleId="8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3</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2024-11-08T12:59:46Z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